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hint="default" w:eastAsia="宋体"/>
          <w:lang w:val="en-US" w:eastAsia="zh-CN"/>
        </w:rPr>
      </w:pPr>
      <w:bookmarkStart w:id="0" w:name="OLE_LINK17"/>
      <w:bookmarkStart w:id="1" w:name="_Hlk19781073"/>
      <w:bookmarkStart w:id="2" w:name="OLE_LINK2"/>
      <w:r>
        <w:t>3GPP T</w:t>
      </w:r>
      <w:bookmarkStart w:id="3" w:name="_Ref452454252"/>
      <w:bookmarkEnd w:id="3"/>
      <w:r>
        <w:t>SG-</w:t>
      </w:r>
      <w:r>
        <w:rPr>
          <w:szCs w:val="24"/>
        </w:rPr>
        <w:t>RAN WG3 Meeting #</w:t>
      </w:r>
      <w:r>
        <w:rPr>
          <w:rFonts w:hint="eastAsia" w:eastAsia="宋体"/>
          <w:szCs w:val="24"/>
          <w:lang w:val="en-US" w:eastAsia="zh-CN"/>
        </w:rPr>
        <w:t>12</w:t>
      </w:r>
      <w:bookmarkEnd w:id="0"/>
      <w:r>
        <w:rPr>
          <w:rFonts w:hint="eastAsia" w:eastAsia="宋体"/>
          <w:szCs w:val="24"/>
          <w:lang w:val="en-US" w:eastAsia="zh-CN"/>
        </w:rPr>
        <w:t>3-bis</w:t>
      </w:r>
      <w:r>
        <w:tab/>
      </w:r>
      <w:r>
        <w:rPr>
          <w:rFonts w:hint="eastAsia"/>
          <w:lang w:eastAsia="ja-JP"/>
        </w:rPr>
        <w:t>R3-241992</w:t>
      </w:r>
    </w:p>
    <w:p>
      <w:pPr>
        <w:pStyle w:val="117"/>
        <w:rPr>
          <w:rFonts w:hint="default" w:eastAsia="宋体"/>
          <w:lang w:val="en-US" w:eastAsia="zh-CN"/>
        </w:rPr>
      </w:pPr>
      <w:bookmarkStart w:id="4" w:name="_Hlk19781143"/>
      <w:r>
        <w:rPr>
          <w:rFonts w:hint="eastAsia" w:eastAsia="宋体"/>
          <w:lang w:val="en-US" w:eastAsia="zh-CN"/>
        </w:rPr>
        <w:t>Changsha, China, 15 - 19 April 2024</w:t>
      </w:r>
    </w:p>
    <w:bookmarkEnd w:id="1"/>
    <w:bookmarkEnd w:id="2"/>
    <w:bookmarkEnd w:id="4"/>
    <w:p>
      <w:pPr>
        <w:pStyle w:val="35"/>
        <w:rPr>
          <w:rFonts w:cs="Arial"/>
          <w:bCs/>
          <w:sz w:val="24"/>
          <w:lang w:eastAsia="ja-JP"/>
        </w:rPr>
      </w:pPr>
    </w:p>
    <w:p>
      <w:pPr>
        <w:pStyle w:val="35"/>
        <w:rPr>
          <w:rFonts w:cs="Arial"/>
          <w:bCs/>
          <w:sz w:val="24"/>
          <w:lang w:eastAsia="ja-JP"/>
        </w:rPr>
      </w:pPr>
    </w:p>
    <w:p>
      <w:pPr>
        <w:pStyle w:val="88"/>
        <w:rPr>
          <w:rFonts w:hint="default" w:eastAsia="宋体"/>
          <w:lang w:val="en-US" w:eastAsia="zh-CN"/>
        </w:rPr>
      </w:pPr>
      <w:r>
        <w:t>Agenda Item:</w:t>
      </w:r>
      <w:r>
        <w:tab/>
      </w:r>
      <w:r>
        <w:rPr>
          <w:rFonts w:hint="eastAsia" w:eastAsia="宋体"/>
          <w:lang w:val="en-US" w:eastAsia="zh-CN"/>
        </w:rPr>
        <w:t>9.2.2</w:t>
      </w:r>
    </w:p>
    <w:p>
      <w:pPr>
        <w:pStyle w:val="88"/>
        <w:rPr>
          <w:rFonts w:hint="default" w:eastAsia="宋体"/>
          <w:lang w:val="en-US" w:eastAsia="zh-CN"/>
        </w:rPr>
      </w:pPr>
      <w:r>
        <w:t>Source:</w:t>
      </w:r>
      <w:r>
        <w:tab/>
      </w:r>
      <w:r>
        <w:rPr>
          <w:rFonts w:hint="eastAsia" w:eastAsia="宋体"/>
          <w:lang w:val="en-US" w:eastAsia="zh-CN"/>
        </w:rPr>
        <w:t>ZTE</w:t>
      </w:r>
    </w:p>
    <w:p>
      <w:pPr>
        <w:pStyle w:val="88"/>
        <w:ind w:left="1985" w:hanging="1985"/>
        <w:rPr>
          <w:lang w:eastAsia="ja-JP"/>
        </w:rPr>
      </w:pPr>
      <w:r>
        <w:t>Title:</w:t>
      </w:r>
      <w:r>
        <w:tab/>
      </w:r>
      <w:r>
        <w:rPr>
          <w:rFonts w:hint="eastAsia" w:eastAsia="宋体"/>
          <w:lang w:val="en-US" w:eastAsia="zh-CN"/>
        </w:rPr>
        <w:t>Discussion on LTM remaining issues</w:t>
      </w:r>
    </w:p>
    <w:p>
      <w:pPr>
        <w:pStyle w:val="88"/>
        <w:rPr>
          <w:lang w:eastAsia="ja-JP"/>
        </w:rPr>
      </w:pPr>
      <w:r>
        <w:t>Document for:</w:t>
      </w:r>
      <w:r>
        <w:tab/>
      </w:r>
      <w:r>
        <w:t xml:space="preserve">Discussions &amp; </w:t>
      </w:r>
      <w:r>
        <w:rPr>
          <w:lang w:eastAsia="ja-JP"/>
        </w:rPr>
        <w:t>Approval</w:t>
      </w:r>
    </w:p>
    <w:p>
      <w:pPr>
        <w:pStyle w:val="2"/>
        <w:numPr>
          <w:ilvl w:val="0"/>
          <w:numId w:val="2"/>
        </w:numPr>
        <w:rPr>
          <w:rFonts w:cs="Arial"/>
        </w:rPr>
      </w:pPr>
      <w:bookmarkStart w:id="5" w:name="OLE_LINK1"/>
      <w:r>
        <w:rPr>
          <w:rFonts w:cs="Arial"/>
        </w:rPr>
        <w:t>Introduction</w:t>
      </w:r>
    </w:p>
    <w:bookmarkEnd w:id="5"/>
    <w:p>
      <w:pPr>
        <w:overflowPunct w:val="0"/>
        <w:autoSpaceDE w:val="0"/>
        <w:autoSpaceDN w:val="0"/>
        <w:adjustRightInd w:val="0"/>
        <w:spacing w:after="120"/>
        <w:jc w:val="both"/>
        <w:textAlignment w:val="baseline"/>
        <w:rPr>
          <w:rFonts w:hint="default" w:eastAsia="宋体"/>
          <w:sz w:val="22"/>
          <w:szCs w:val="22"/>
          <w:lang w:val="en-US" w:eastAsia="zh-CN"/>
        </w:rPr>
      </w:pPr>
      <w:r>
        <w:rPr>
          <w:rFonts w:hint="eastAsia" w:eastAsia="宋体"/>
          <w:sz w:val="22"/>
          <w:szCs w:val="22"/>
          <w:lang w:val="en-US" w:eastAsia="zh-CN"/>
        </w:rPr>
        <w:t>In this paper, we would like to discuss the remaining issues of LTM.</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bookmarkStart w:id="6" w:name="OLE_LINK5"/>
      <w:r>
        <w:rPr>
          <w:rFonts w:ascii="Arial" w:hAnsi="Arial" w:eastAsia="Times New Roman" w:cs="Arial"/>
          <w:sz w:val="36"/>
          <w:lang w:val="en-GB" w:eastAsia="en-US" w:bidi="ar-SA"/>
        </w:rPr>
        <w:tab/>
      </w:r>
      <w:bookmarkEnd w:id="6"/>
      <w:r>
        <w:rPr>
          <w:rFonts w:hint="eastAsia" w:ascii="Arial" w:hAnsi="Arial" w:eastAsia="宋体" w:cs="Arial"/>
          <w:sz w:val="36"/>
          <w:lang w:val="en-US" w:eastAsia="zh-CN" w:bidi="ar-SA"/>
        </w:rPr>
        <w:t>Discussion</w:t>
      </w:r>
    </w:p>
    <w:p>
      <w:pPr>
        <w:pStyle w:val="3"/>
        <w:bidi w:val="0"/>
        <w:rPr>
          <w:rFonts w:hint="default"/>
          <w:lang w:val="en-US" w:eastAsia="zh-CN"/>
        </w:rPr>
      </w:pPr>
      <w:bookmarkStart w:id="7" w:name="OLE_LINK7"/>
      <w:r>
        <w:rPr>
          <w:rFonts w:hint="eastAsia"/>
          <w:lang w:val="en-US" w:eastAsia="zh-CN"/>
        </w:rPr>
        <w:t>2.1</w:t>
      </w:r>
      <w:r>
        <w:rPr>
          <w:rFonts w:ascii="Arial" w:hAnsi="Arial" w:eastAsia="Times New Roman" w:cs="Arial"/>
          <w:sz w:val="36"/>
          <w:lang w:val="en-GB" w:eastAsia="en-US" w:bidi="ar-SA"/>
        </w:rPr>
        <w:tab/>
      </w:r>
      <w:r>
        <w:rPr>
          <w:rFonts w:hint="eastAsia"/>
          <w:lang w:val="en-US" w:eastAsia="zh-CN"/>
        </w:rPr>
        <w:t>TA value transfer</w:t>
      </w:r>
    </w:p>
    <w:bookmarkEnd w:id="7"/>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At the last meeting, we made the following agreement and it is still FFS on how to ensure the TA value is valid, FFS on which node decides the TA value is valid and the need of the validity timer.</w:t>
      </w:r>
    </w:p>
    <w:p>
      <w:pPr>
        <w:overflowPunct w:val="0"/>
        <w:autoSpaceDE w:val="0"/>
        <w:autoSpaceDN w:val="0"/>
        <w:adjustRightInd w:val="0"/>
        <w:spacing w:after="180"/>
        <w:textAlignment w:val="baseline"/>
        <w:rPr>
          <w:rFonts w:hint="eastAsia" w:ascii="Arial" w:hAnsi="Arial" w:cs="Arial"/>
          <w:lang w:val="en-US" w:eastAsia="zh-CN" w:bidi="ar-SA"/>
        </w:rPr>
      </w:pPr>
      <w:r>
        <w:rPr>
          <w:rFonts w:hint="default" w:ascii="Arial" w:hAnsi="Arial" w:cs="Arial"/>
          <w:color w:val="00B050"/>
          <w:lang w:val="en-US" w:eastAsia="zh-CN" w:bidi="ar-SA"/>
        </w:rPr>
        <w:t xml:space="preserve">The target DU receives the TA values for subsequent LTM in Cell Switch Notification. </w:t>
      </w:r>
      <w:bookmarkStart w:id="8" w:name="OLE_LINK9"/>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lang w:val="en-US" w:eastAsia="zh-CN" w:bidi="ar-SA"/>
        </w:rPr>
      </w:pPr>
      <w:r>
        <w:rPr>
          <w:rFonts w:hint="eastAsia" w:ascii="Arial" w:hAnsi="Arial" w:cs="Arial"/>
          <w:lang w:val="en-US" w:eastAsia="zh-CN" w:bidi="ar-SA"/>
        </w:rPr>
        <w:t xml:space="preserve">To solve this left issue, a solution is provided in the following figure. The candidate DU needs to send the TAT (Time Alignment Timer defined by RAN2) to the source DU via the DU-CU/CU-DU TA information transfer message so that the source DU can know the valid time of the TA value. When the source DU sends the TA values to the target gNB-DU via the </w:t>
      </w:r>
      <w:bookmarkStart w:id="9" w:name="OLE_LINK6"/>
      <w:r>
        <w:rPr>
          <w:rFonts w:hint="eastAsia" w:ascii="Arial" w:hAnsi="Arial" w:cs="Arial"/>
          <w:lang w:val="en-US" w:eastAsia="zh-CN" w:bidi="ar-SA"/>
        </w:rPr>
        <w:t>DU-CU/CU-DU Cell Switch Notification message</w:t>
      </w:r>
      <w:bookmarkEnd w:id="9"/>
      <w:r>
        <w:rPr>
          <w:rFonts w:hint="eastAsia" w:ascii="Arial" w:hAnsi="Arial" w:cs="Arial"/>
          <w:lang w:val="en-US" w:eastAsia="zh-CN" w:bidi="ar-SA"/>
        </w:rPr>
        <w:t>, it also needs to send a validity timer, which equals to the TAT minus the time spent on the source DU side.</w:t>
      </w:r>
    </w:p>
    <w:p>
      <w:pPr>
        <w:keepNext w:val="0"/>
        <w:keepLines w:val="0"/>
        <w:pageBreakBefore w:val="0"/>
        <w:widowControl/>
        <w:kinsoku/>
        <w:wordWrap/>
        <w:overflowPunct w:val="0"/>
        <w:topLinePunct w:val="0"/>
        <w:autoSpaceDE w:val="0"/>
        <w:autoSpaceDN w:val="0"/>
        <w:bidi w:val="0"/>
        <w:adjustRightInd w:val="0"/>
        <w:snapToGrid/>
        <w:spacing w:before="120" w:after="180"/>
        <w:jc w:val="center"/>
        <w:textAlignment w:val="baseline"/>
        <w:rPr>
          <w:rFonts w:hint="default" w:ascii="Arial" w:hAnsi="Arial" w:cs="Arial"/>
          <w:lang w:val="en-US" w:eastAsia="zh-CN" w:bidi="ar-SA"/>
        </w:rPr>
      </w:pPr>
      <w:r>
        <w:rPr>
          <w:rFonts w:ascii="Times New Roman" w:hAnsi="Times New Roman" w:eastAsia="宋体" w:cs="Times New Roman"/>
          <w:highlight w:val="none"/>
        </w:rPr>
        <w:object>
          <v:shape id="_x0000_i1025" o:spt="75" type="#_x0000_t75" style="height:122pt;width:268.35pt;" o:ole="t" filled="f" o:preferrelative="t" stroked="f" coordsize="21600,21600">
            <v:path/>
            <v:fill on="f" focussize="0,0"/>
            <v:stroke on="f"/>
            <v:imagedata r:id="rId6" o:title=""/>
            <o:lock v:ext="edit" aspectratio="t"/>
            <w10:wrap type="none"/>
            <w10:anchorlock/>
          </v:shape>
          <o:OLEObject Type="Embed" ProgID="Mscgen.Chart" ShapeID="_x0000_i1025" DrawAspect="Content" ObjectID="_1468075725" r:id="rId5">
            <o:LockedField>false</o:LockedField>
          </o:OLEObject>
        </w:objec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1:</w:t>
      </w:r>
      <w:bookmarkEnd w:id="8"/>
      <w:r>
        <w:rPr>
          <w:rFonts w:hint="eastAsia" w:ascii="Arial" w:hAnsi="Arial" w:cs="Arial"/>
          <w:b/>
          <w:bCs/>
          <w:lang w:val="en-US" w:eastAsia="zh-CN" w:bidi="ar-SA"/>
        </w:rPr>
        <w:t xml:space="preserve"> The candidate DU sends the TAT to the source DU via the </w:t>
      </w:r>
      <w:bookmarkStart w:id="10" w:name="OLE_LINK4"/>
      <w:r>
        <w:rPr>
          <w:rFonts w:hint="eastAsia" w:ascii="Arial" w:hAnsi="Arial" w:cs="Arial"/>
          <w:b/>
          <w:bCs/>
          <w:lang w:val="en-US" w:eastAsia="zh-CN" w:bidi="ar-SA"/>
        </w:rPr>
        <w:t>DU-CU/CU-DU TA information transfer message</w:t>
      </w:r>
      <w:bookmarkEnd w:id="10"/>
      <w:r>
        <w:rPr>
          <w:rFonts w:hint="eastAsia" w:ascii="Arial" w:hAnsi="Arial" w:cs="Arial"/>
          <w:b/>
          <w:bCs/>
          <w:lang w:val="en-US" w:eastAsia="zh-CN" w:bidi="ar-SA"/>
        </w:rPr>
        <w:t>.</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2: The source DU sends a TA validity timer to the target DU via the DU-CU/CU-DU Cell Switch Notification message. The validity timer equals to the TAT minus the time spent on the source DU side.</w:t>
      </w:r>
    </w:p>
    <w:p>
      <w:pPr>
        <w:pStyle w:val="3"/>
        <w:bidi w:val="0"/>
        <w:rPr>
          <w:rFonts w:hint="default"/>
          <w:lang w:val="en-US" w:eastAsia="zh-CN"/>
        </w:rPr>
      </w:pPr>
      <w:r>
        <w:rPr>
          <w:rFonts w:hint="eastAsia"/>
          <w:lang w:val="en-US" w:eastAsia="zh-CN"/>
        </w:rPr>
        <w:t>2.2</w:t>
      </w:r>
      <w:r>
        <w:rPr>
          <w:rFonts w:ascii="Arial" w:hAnsi="Arial" w:eastAsia="Times New Roman" w:cs="Arial"/>
          <w:sz w:val="36"/>
          <w:lang w:val="en-GB" w:eastAsia="en-US" w:bidi="ar-SA"/>
        </w:rPr>
        <w:tab/>
      </w:r>
      <w:r>
        <w:rPr>
          <w:rFonts w:hint="eastAsia"/>
          <w:lang w:val="en-US" w:eastAsia="zh-CN"/>
        </w:rPr>
        <w:t>Same TA as source and TA = 0</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At the last meeting, we made the following agreement and it is still FFS which node decides the cell</w:t>
      </w:r>
      <w:r>
        <w:rPr>
          <w:rFonts w:hint="default" w:ascii="Arial" w:hAnsi="Arial" w:cs="Arial"/>
          <w:lang w:val="en-US" w:eastAsia="zh-CN" w:bidi="ar-SA"/>
        </w:rPr>
        <w:t>’</w:t>
      </w:r>
      <w:r>
        <w:rPr>
          <w:rFonts w:hint="eastAsia" w:ascii="Arial" w:hAnsi="Arial" w:cs="Arial"/>
          <w:lang w:val="en-US" w:eastAsia="zh-CN" w:bidi="ar-SA"/>
        </w:rPr>
        <w:t>s TA is 0.</w:t>
      </w:r>
    </w:p>
    <w:p>
      <w:pPr>
        <w:overflowPunct w:val="0"/>
        <w:autoSpaceDE w:val="0"/>
        <w:autoSpaceDN w:val="0"/>
        <w:adjustRightInd w:val="0"/>
        <w:spacing w:after="180"/>
        <w:textAlignment w:val="baseline"/>
        <w:rPr>
          <w:rFonts w:hint="default" w:ascii="Arial" w:hAnsi="Arial" w:cs="Arial"/>
          <w:color w:val="00B050"/>
          <w:lang w:val="en-US" w:eastAsia="zh-CN" w:bidi="ar-SA"/>
        </w:rPr>
      </w:pPr>
      <w:r>
        <w:rPr>
          <w:rFonts w:hint="default" w:ascii="Arial" w:hAnsi="Arial" w:cs="Arial"/>
          <w:color w:val="00B050"/>
          <w:lang w:val="en-US" w:eastAsia="zh-CN" w:bidi="ar-SA"/>
        </w:rPr>
        <w:t>The gNB-CU provides the TA =0 to the source gNB-DU and other candidate gNB-DUs.</w:t>
      </w:r>
    </w:p>
    <w:p>
      <w:pPr>
        <w:overflowPunct w:val="0"/>
        <w:autoSpaceDE w:val="0"/>
        <w:autoSpaceDN w:val="0"/>
        <w:adjustRightInd w:val="0"/>
        <w:spacing w:after="180"/>
        <w:textAlignment w:val="baseline"/>
        <w:rPr>
          <w:rFonts w:hint="default" w:ascii="Arial" w:hAnsi="Arial" w:cs="Arial"/>
          <w:lang w:val="en-US" w:eastAsia="zh-CN" w:bidi="ar-SA"/>
        </w:rPr>
      </w:pPr>
      <w:r>
        <w:rPr>
          <w:rFonts w:hint="default" w:ascii="Arial" w:hAnsi="Arial" w:cs="Arial"/>
          <w:lang w:val="en-US" w:eastAsia="zh-CN" w:bidi="ar-SA"/>
        </w:rPr>
        <w:t>Option1:  candidate DU provides it in UE context setup response/F1 setup request.</w:t>
      </w:r>
    </w:p>
    <w:p>
      <w:pPr>
        <w:overflowPunct w:val="0"/>
        <w:autoSpaceDE w:val="0"/>
        <w:autoSpaceDN w:val="0"/>
        <w:adjustRightInd w:val="0"/>
        <w:spacing w:after="180"/>
        <w:textAlignment w:val="baseline"/>
        <w:rPr>
          <w:rFonts w:hint="default" w:ascii="Arial" w:hAnsi="Arial" w:cs="Arial"/>
          <w:lang w:val="en-US" w:eastAsia="zh-CN" w:bidi="ar-SA"/>
        </w:rPr>
      </w:pPr>
      <w:r>
        <w:rPr>
          <w:rFonts w:hint="default" w:ascii="Arial" w:hAnsi="Arial" w:cs="Arial"/>
          <w:lang w:val="en-US" w:eastAsia="zh-CN" w:bidi="ar-SA"/>
        </w:rPr>
        <w:t>Option 2: CU knows. (OAM configured)</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 xml:space="preserve">Since the TA value is zero at any location in a cell, the CU can know this information based on OAM configuration to avoid unnecessary early TA acquisition procedure. </w:t>
      </w:r>
    </w:p>
    <w:p>
      <w:pPr>
        <w:overflowPunct w:val="0"/>
        <w:autoSpaceDE w:val="0"/>
        <w:autoSpaceDN w:val="0"/>
        <w:adjustRightInd w:val="0"/>
        <w:spacing w:after="180"/>
        <w:textAlignment w:val="baseline"/>
        <w:rPr>
          <w:rFonts w:hint="default" w:ascii="Arial" w:hAnsi="Arial" w:cs="Arial"/>
          <w:lang w:val="en-US" w:eastAsia="zh-CN" w:bidi="ar-SA"/>
        </w:rPr>
      </w:pPr>
      <w:bookmarkStart w:id="11" w:name="OLE_LINK3"/>
      <w:r>
        <w:rPr>
          <w:rFonts w:hint="eastAsia" w:ascii="Arial" w:hAnsi="Arial" w:cs="Arial"/>
          <w:b/>
          <w:bCs/>
          <w:lang w:val="en-US" w:eastAsia="zh-CN" w:bidi="ar-SA"/>
        </w:rPr>
        <w:t>Proposal 3: The CU can know TA=0 based on OAM configuration.</w:t>
      </w:r>
    </w:p>
    <w:bookmarkEnd w:id="11"/>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For the same TA case, there are two options left as below.</w:t>
      </w:r>
    </w:p>
    <w:p>
      <w:pPr>
        <w:overflowPunct w:val="0"/>
        <w:autoSpaceDE w:val="0"/>
        <w:autoSpaceDN w:val="0"/>
        <w:adjustRightInd w:val="0"/>
        <w:spacing w:after="180"/>
        <w:textAlignment w:val="baseline"/>
        <w:rPr>
          <w:rFonts w:hint="default" w:ascii="Arial" w:hAnsi="Arial" w:cs="Arial"/>
          <w:color w:val="0000FF"/>
          <w:lang w:val="en-US" w:eastAsia="zh-CN" w:bidi="ar-SA"/>
        </w:rPr>
      </w:pPr>
      <w:r>
        <w:rPr>
          <w:rFonts w:hint="default" w:ascii="Arial" w:hAnsi="Arial" w:cs="Arial"/>
          <w:color w:val="0000FF"/>
          <w:lang w:val="en-US" w:eastAsia="zh-CN" w:bidi="ar-SA"/>
        </w:rPr>
        <w:t>Option 1: candidate DU response to the CU about the same TA value as source information.</w:t>
      </w:r>
    </w:p>
    <w:p>
      <w:pPr>
        <w:overflowPunct w:val="0"/>
        <w:autoSpaceDE w:val="0"/>
        <w:autoSpaceDN w:val="0"/>
        <w:adjustRightInd w:val="0"/>
        <w:spacing w:after="180"/>
        <w:textAlignment w:val="baseline"/>
        <w:rPr>
          <w:rFonts w:hint="default" w:ascii="Arial" w:hAnsi="Arial" w:cs="Arial"/>
          <w:color w:val="0000FF"/>
          <w:lang w:val="en-US" w:eastAsia="zh-CN" w:bidi="ar-SA"/>
        </w:rPr>
      </w:pPr>
      <w:r>
        <w:rPr>
          <w:rFonts w:hint="default" w:ascii="Arial" w:hAnsi="Arial" w:cs="Arial"/>
          <w:color w:val="0000FF"/>
          <w:lang w:val="en-US" w:eastAsia="zh-CN" w:bidi="ar-SA"/>
        </w:rPr>
        <w:t>Option 2: source DU determines whether the candidate Cell’s TA is same as source.</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However, from our point of view, the TA value will change based on the UE location which is dynamic. Thus signalling enhancement to support same TA value information exchange is not necessary since the same TA value may become different TA value.</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4: RAN3 does not introduce enhancement for the same TA value as source case.</w:t>
      </w:r>
    </w:p>
    <w:p>
      <w:pPr>
        <w:pStyle w:val="3"/>
        <w:bidi w:val="0"/>
        <w:rPr>
          <w:rFonts w:hint="default" w:eastAsia="宋体"/>
          <w:lang w:val="en-US" w:eastAsia="zh-CN"/>
        </w:rPr>
      </w:pPr>
      <w:r>
        <w:rPr>
          <w:rFonts w:hint="eastAsia"/>
          <w:lang w:val="en-US" w:eastAsia="zh-CN"/>
        </w:rPr>
        <w:t>2.3</w:t>
      </w:r>
      <w:r>
        <w:rPr>
          <w:rFonts w:ascii="Arial" w:hAnsi="Arial" w:eastAsia="Times New Roman" w:cs="Arial"/>
          <w:sz w:val="36"/>
          <w:lang w:val="en-GB" w:eastAsia="en-US" w:bidi="ar-SA"/>
        </w:rPr>
        <w:tab/>
      </w:r>
      <w:r>
        <w:rPr>
          <w:rFonts w:hint="eastAsia" w:eastAsia="宋体"/>
          <w:lang w:val="en-US" w:eastAsia="zh-CN"/>
        </w:rPr>
        <w:t>UE based TA measurement</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At the last meeting, we made the following agreement, and it is still FFS on the details.</w:t>
      </w:r>
    </w:p>
    <w:p>
      <w:pPr>
        <w:overflowPunct w:val="0"/>
        <w:autoSpaceDE w:val="0"/>
        <w:autoSpaceDN w:val="0"/>
        <w:adjustRightInd w:val="0"/>
        <w:spacing w:after="180"/>
        <w:textAlignment w:val="baseline"/>
        <w:rPr>
          <w:rFonts w:hint="eastAsia" w:ascii="Arial" w:hAnsi="Arial" w:cs="Arial"/>
          <w:color w:val="00B050"/>
          <w:lang w:val="en-US" w:eastAsia="zh-CN" w:bidi="ar-SA"/>
        </w:rPr>
      </w:pPr>
      <w:r>
        <w:rPr>
          <w:rFonts w:hint="eastAsia" w:ascii="Arial" w:hAnsi="Arial" w:cs="Arial"/>
          <w:color w:val="00B050"/>
          <w:lang w:val="en-US" w:eastAsia="zh-CN" w:bidi="ar-SA"/>
        </w:rPr>
        <w:t>The gNB-CU signals to source DU to indicate UE base TA information and details to be discussed.</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The basic issue needs to be discussed firstly is that whether it is the CU that assigns the ltm-UE-MeasuredTA-ID and ltm-ServingCellUE-MeasuredTA for UE based TA measurement. From our point of view, if it is up to the CU assignment, then the DU needs to transfer the assistance information to the CU, e.g. the time synchronization information, which needs F1 interface enhancement.</w:t>
      </w:r>
    </w:p>
    <w:p>
      <w:pPr>
        <w:overflowPunct w:val="0"/>
        <w:autoSpaceDE w:val="0"/>
        <w:autoSpaceDN w:val="0"/>
        <w:adjustRightInd w:val="0"/>
        <w:spacing w:after="180"/>
        <w:textAlignment w:val="baseline"/>
        <w:rPr>
          <w:rFonts w:hint="default" w:ascii="Arial" w:hAnsi="Arial" w:cs="Arial"/>
          <w:lang w:val="en-US" w:eastAsia="zh-CN" w:bidi="ar-SA"/>
        </w:rPr>
      </w:pPr>
      <w:bookmarkStart w:id="12" w:name="OLE_LINK11"/>
      <w:r>
        <w:rPr>
          <w:rFonts w:hint="eastAsia" w:ascii="Arial" w:hAnsi="Arial" w:cs="Arial"/>
          <w:b/>
          <w:bCs/>
          <w:lang w:val="en-US" w:eastAsia="zh-CN" w:bidi="ar-SA"/>
        </w:rPr>
        <w:t>Observation 1</w:t>
      </w:r>
      <w:r>
        <w:rPr>
          <w:rFonts w:hint="eastAsia" w:ascii="Arial" w:hAnsi="Arial" w:eastAsia="Times New Roman" w:cs="Arial"/>
          <w:b/>
          <w:bCs/>
          <w:lang w:val="en-US" w:eastAsia="zh-CN" w:bidi="ar-SA"/>
        </w:rPr>
        <w:t>:</w:t>
      </w:r>
      <w:bookmarkEnd w:id="12"/>
      <w:r>
        <w:rPr>
          <w:rFonts w:hint="eastAsia" w:ascii="Arial" w:hAnsi="Arial" w:cs="Arial"/>
          <w:b/>
          <w:bCs/>
          <w:lang w:val="en-US" w:eastAsia="zh-CN" w:bidi="ar-SA"/>
        </w:rPr>
        <w:t xml:space="preserve"> The CU requires the DU to provide assistance information to assign the ltm-UE-MeasuredTA-ID and ltm-ServingCellUE-MeasuredTA for UE based TA measurement.</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To avoid spec impact at this stage,  we can let the OAM assigns the ltm-UE-MeasuredTA-ID and ltm-ServingCellUE-MeasuredTA based on the assistance information provided by the DU, and sends them to the DU via the UE context Modification Request message.</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Observation 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Letting the OAM assigns the ltm-UE-MeasuredTA-ID and ltm-ServingCellUE-MeasuredTA based on the assistance information provided by the DU can reduce spec impact.</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5: The OAM assigns the ltm-UE-MeasuredTA-ID and ltm-ServingCellUE-MeasuredTA for UE based TA measurement.</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6: The gNB-CU indicates the IDs of UE based TA measurement for each candidate cell and source cell to the source gNB-DU via UE context Modification Request message.</w:t>
      </w:r>
    </w:p>
    <w:p>
      <w:pPr>
        <w:pStyle w:val="3"/>
        <w:bidi w:val="0"/>
        <w:rPr>
          <w:rFonts w:hint="eastAsia" w:ascii="Arial" w:hAnsi="Arial" w:cs="Arial"/>
          <w:b/>
          <w:bCs/>
          <w:lang w:val="en-US" w:eastAsia="zh-CN" w:bidi="ar-SA"/>
        </w:rPr>
      </w:pPr>
      <w:r>
        <w:rPr>
          <w:rFonts w:hint="eastAsia"/>
          <w:lang w:val="en-US" w:eastAsia="zh-CN"/>
        </w:rPr>
        <w:t>2.4</w:t>
      </w:r>
      <w:r>
        <w:rPr>
          <w:rFonts w:ascii="Arial" w:hAnsi="Arial" w:eastAsia="Times New Roman" w:cs="Arial"/>
          <w:sz w:val="36"/>
          <w:lang w:val="en-GB" w:eastAsia="en-US" w:bidi="ar-SA"/>
        </w:rPr>
        <w:tab/>
      </w:r>
      <w:r>
        <w:rPr>
          <w:rFonts w:hint="eastAsia" w:eastAsia="宋体"/>
          <w:lang w:val="en-US" w:eastAsia="zh-CN"/>
        </w:rPr>
        <w:t>LTM Interworking with NR-DC</w:t>
      </w:r>
    </w:p>
    <w:p>
      <w:pPr>
        <w:rPr>
          <w:rFonts w:hint="default" w:ascii="Times New Roman" w:hAnsi="Times New Roman" w:eastAsia="Yu Mincho" w:cs="Times New Roman"/>
          <w:lang w:val="en-US" w:eastAsia="zh-CN"/>
        </w:rPr>
      </w:pPr>
      <w:r>
        <w:rPr>
          <w:rFonts w:hint="eastAsia" w:ascii="Times New Roman" w:hAnsi="Times New Roman" w:eastAsia="Yu Mincho" w:cs="Times New Roman"/>
          <w:lang w:val="en-US" w:eastAsia="zh-CN"/>
        </w:rPr>
        <w:t>RAN2 has made the following agreement</w:t>
      </w:r>
      <w:r>
        <w:rPr>
          <w:rFonts w:hint="eastAsia" w:eastAsia="Yu Mincho" w:cs="Times New Roman"/>
          <w:lang w:val="en-US" w:eastAsia="zh-CN"/>
        </w:rPr>
        <w:t xml:space="preserve"> which means that the MN and SN can perform simultaneous LTM configuration. Therefore, no enhancement is needed to support LTM with NR-DC.</w:t>
      </w:r>
    </w:p>
    <w:p>
      <w:pPr>
        <w:overflowPunct w:val="0"/>
        <w:autoSpaceDE w:val="0"/>
        <w:autoSpaceDN w:val="0"/>
        <w:adjustRightInd w:val="0"/>
        <w:spacing w:after="180"/>
        <w:textAlignment w:val="baseline"/>
        <w:rPr>
          <w:rFonts w:hint="default" w:ascii="Arial" w:hAnsi="Arial" w:cs="Arial"/>
          <w:color w:val="00B050"/>
          <w:lang w:val="en-US" w:eastAsia="zh-CN" w:bidi="ar-SA"/>
        </w:rPr>
      </w:pPr>
      <w:r>
        <w:rPr>
          <w:rFonts w:hint="default" w:ascii="Arial" w:hAnsi="Arial" w:cs="Arial"/>
          <w:color w:val="00B050"/>
          <w:lang w:val="en-US" w:eastAsia="zh-CN" w:bidi="ar-SA"/>
        </w:rPr>
        <w:t>No restriction of configuring MCG LTM and SCG LTM. No intention to further work in R2 on network interaction to better enable this.</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 3</w:t>
      </w:r>
      <w:r>
        <w:rPr>
          <w:rFonts w:hint="eastAsia" w:ascii="Arial" w:hAnsi="Arial" w:eastAsia="Times New Roman" w:cs="Arial"/>
          <w:b/>
          <w:bCs/>
          <w:lang w:val="en-US" w:eastAsia="zh-CN" w:bidi="ar-SA"/>
        </w:rPr>
        <w:t>: MN and SN can perform simultaneous LTM configuration</w:t>
      </w:r>
      <w:r>
        <w:rPr>
          <w:rFonts w:hint="eastAsia" w:ascii="Arial" w:hAnsi="Arial" w:cs="Arial"/>
          <w:b/>
          <w:bCs/>
          <w:lang w:val="en-US" w:eastAsia="zh-CN" w:bidi="ar-SA"/>
        </w:rPr>
        <w:t>.</w:t>
      </w:r>
    </w:p>
    <w:p>
      <w:pPr>
        <w:overflowPunct w:val="0"/>
        <w:autoSpaceDE w:val="0"/>
        <w:autoSpaceDN w:val="0"/>
        <w:adjustRightInd w:val="0"/>
        <w:spacing w:after="180"/>
        <w:textAlignment w:val="baseline"/>
        <w:rPr>
          <w:rFonts w:hint="default" w:ascii="Arial" w:hAnsi="Arial" w:cs="Arial"/>
          <w:color w:val="00B050"/>
          <w:lang w:val="en-US" w:eastAsia="zh-CN" w:bidi="ar-SA"/>
        </w:rPr>
      </w:pPr>
      <w:r>
        <w:rPr>
          <w:rFonts w:hint="eastAsia" w:ascii="Arial" w:hAnsi="Arial" w:cs="Arial"/>
          <w:b/>
          <w:bCs/>
          <w:lang w:val="en-US" w:eastAsia="zh-CN" w:bidi="ar-SA"/>
        </w:rPr>
        <w:t>Proposal 7: No enhancement is needed to support LTM with NR-DC.</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宋体" w:cs="Arial"/>
          <w:lang w:val="en-US" w:eastAsia="zh-CN" w:bidi="ar-SA"/>
        </w:rPr>
      </w:pPr>
      <w:r>
        <w:rPr>
          <w:rFonts w:hint="eastAsia" w:ascii="Arial" w:hAnsi="Arial" w:eastAsia="Times New Roman" w:cs="Arial"/>
          <w:lang w:val="en-GB" w:eastAsia="en-US" w:bidi="ar-SA"/>
        </w:rPr>
        <w:t>Based on above analysis, we provide the following observations and proposals.</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1: The candidate DU sends the TAT to the source DU via the DU-CU/CU-DU TA information transfer message.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2: The source</w:t>
      </w:r>
      <w:bookmarkStart w:id="13" w:name="_GoBack"/>
      <w:bookmarkEnd w:id="13"/>
      <w:r>
        <w:rPr>
          <w:rFonts w:hint="eastAsia" w:ascii="Arial" w:hAnsi="Arial" w:cs="Arial"/>
          <w:b/>
          <w:bCs/>
          <w:lang w:val="en-US" w:eastAsia="zh-CN" w:bidi="ar-SA"/>
        </w:rPr>
        <w:t xml:space="preserve"> DU sends a TA validity timer to the target DU via the DU-CU/CU-DU Cell Switch Notification message. The validity timer equals to the TAT minus the time spent on the source DU side.</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3: The CU can know TA=0 based on OAM configuration.</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4: RAN3 does not introduce enhancement for the same TA value as source case.</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Observation 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CU requires the DU to provide assistance information to assign the ltm-UE-MeasuredTA-ID and ltm-ServingCellUE-MeasuredTA for UE based TA measurement.</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Observation 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Letting the OAM assigns the ltm-UE-MeasuredTA-ID and ltm-ServingCellUE-MeasuredTA based on the assistance information provided by the DU can reduce spec impact.</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5: The OAM assigns the ltm-UE-MeasuredTA-ID and ltm-ServingCellUE-MeasuredTA for UE based TA measurement.</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6: The gNB-CU indicates the IDs of UE based TA measurement for each candidate cell and source cell to the source gNB-DU via UE context Modification Request message.</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 3</w:t>
      </w:r>
      <w:r>
        <w:rPr>
          <w:rFonts w:hint="eastAsia" w:ascii="Arial" w:hAnsi="Arial" w:eastAsia="Times New Roman" w:cs="Arial"/>
          <w:b/>
          <w:bCs/>
          <w:lang w:val="en-US" w:eastAsia="zh-CN" w:bidi="ar-SA"/>
        </w:rPr>
        <w:t>: MN and SN can perform simultaneous LTM configuration</w:t>
      </w:r>
      <w:r>
        <w:rPr>
          <w:rFonts w:hint="eastAsia" w:ascii="Arial" w:hAnsi="Arial" w:cs="Arial"/>
          <w:b/>
          <w:bCs/>
          <w:lang w:val="en-US" w:eastAsia="zh-CN" w:bidi="ar-SA"/>
        </w:rPr>
        <w:t>.</w:t>
      </w:r>
    </w:p>
    <w:p>
      <w:pPr>
        <w:overflowPunct w:val="0"/>
        <w:autoSpaceDE w:val="0"/>
        <w:autoSpaceDN w:val="0"/>
        <w:adjustRightInd w:val="0"/>
        <w:spacing w:after="180"/>
        <w:textAlignment w:val="baseline"/>
        <w:rPr>
          <w:rFonts w:hint="default" w:ascii="Arial" w:hAnsi="Arial" w:cs="Arial"/>
          <w:color w:val="00B050"/>
          <w:lang w:val="en-US" w:eastAsia="zh-CN" w:bidi="ar-SA"/>
        </w:rPr>
      </w:pPr>
      <w:r>
        <w:rPr>
          <w:rFonts w:hint="eastAsia" w:ascii="Arial" w:hAnsi="Arial" w:cs="Arial"/>
          <w:b/>
          <w:bCs/>
          <w:lang w:val="en-US" w:eastAsia="zh-CN" w:bidi="ar-SA"/>
        </w:rPr>
        <w:t>Proposal 7: No enhancement is needed to support LTM with NR-DC.</w:t>
      </w:r>
    </w:p>
    <w:p>
      <w:pPr>
        <w:pStyle w:val="86"/>
        <w:jc w:val="both"/>
      </w:pP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Nokia Pure Text Light">
    <w:altName w:val="Segoe Print"/>
    <w:panose1 w:val="020B0304040602060303"/>
    <w:charset w:val="00"/>
    <w:family w:val="swiss"/>
    <w:pitch w:val="default"/>
    <w:sig w:usb0="00000000" w:usb1="00000000" w:usb2="00010000" w:usb3="00000000" w:csb0="0000019F"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15C0A2"/>
    <w:multiLevelType w:val="singleLevel"/>
    <w:tmpl w:val="B915C0A2"/>
    <w:lvl w:ilvl="0" w:tentative="0">
      <w:start w:val="1"/>
      <w:numFmt w:val="decimal"/>
      <w:lvlText w:val="%1"/>
      <w:lvlJc w:val="left"/>
    </w:lvl>
  </w:abstractNum>
  <w:abstractNum w:abstractNumId="1">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37F8"/>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9D7936"/>
    <w:rsid w:val="021100AD"/>
    <w:rsid w:val="02314CFB"/>
    <w:rsid w:val="029C33C1"/>
    <w:rsid w:val="029C46DB"/>
    <w:rsid w:val="02B6410D"/>
    <w:rsid w:val="02CF4723"/>
    <w:rsid w:val="03A67F20"/>
    <w:rsid w:val="03AA525F"/>
    <w:rsid w:val="044D6948"/>
    <w:rsid w:val="046B0AFB"/>
    <w:rsid w:val="04A456AB"/>
    <w:rsid w:val="05175555"/>
    <w:rsid w:val="05EE1AB8"/>
    <w:rsid w:val="05FC4D85"/>
    <w:rsid w:val="060C111B"/>
    <w:rsid w:val="06312CCC"/>
    <w:rsid w:val="066F0108"/>
    <w:rsid w:val="066F7E9B"/>
    <w:rsid w:val="068F53DD"/>
    <w:rsid w:val="069142A6"/>
    <w:rsid w:val="06AA2469"/>
    <w:rsid w:val="06F51916"/>
    <w:rsid w:val="076705FA"/>
    <w:rsid w:val="07776026"/>
    <w:rsid w:val="083C4E88"/>
    <w:rsid w:val="088C4F33"/>
    <w:rsid w:val="08B83BE3"/>
    <w:rsid w:val="09181FF8"/>
    <w:rsid w:val="092F43AC"/>
    <w:rsid w:val="09697433"/>
    <w:rsid w:val="09CA0B4F"/>
    <w:rsid w:val="0A1A73D0"/>
    <w:rsid w:val="0A615B38"/>
    <w:rsid w:val="0A752A9A"/>
    <w:rsid w:val="0A907901"/>
    <w:rsid w:val="0ADD5BA9"/>
    <w:rsid w:val="0B561A7D"/>
    <w:rsid w:val="0B765AF3"/>
    <w:rsid w:val="0B9B541A"/>
    <w:rsid w:val="0BF81269"/>
    <w:rsid w:val="0C717243"/>
    <w:rsid w:val="0C800806"/>
    <w:rsid w:val="0D0802CD"/>
    <w:rsid w:val="0D71065D"/>
    <w:rsid w:val="0DAF3492"/>
    <w:rsid w:val="0DBF1AB3"/>
    <w:rsid w:val="0DFE138F"/>
    <w:rsid w:val="0E0A0DAE"/>
    <w:rsid w:val="0E2D4006"/>
    <w:rsid w:val="0E766064"/>
    <w:rsid w:val="0E79247A"/>
    <w:rsid w:val="0EAD5E04"/>
    <w:rsid w:val="0F0C34F9"/>
    <w:rsid w:val="0F5466E4"/>
    <w:rsid w:val="0F931965"/>
    <w:rsid w:val="0F9C2A57"/>
    <w:rsid w:val="0FCC5FE0"/>
    <w:rsid w:val="100571B9"/>
    <w:rsid w:val="102B2F80"/>
    <w:rsid w:val="1080178B"/>
    <w:rsid w:val="109D506C"/>
    <w:rsid w:val="10A165AE"/>
    <w:rsid w:val="10B47F16"/>
    <w:rsid w:val="11060A51"/>
    <w:rsid w:val="117B4C45"/>
    <w:rsid w:val="11B23BB5"/>
    <w:rsid w:val="11DC5602"/>
    <w:rsid w:val="121A489B"/>
    <w:rsid w:val="1229571B"/>
    <w:rsid w:val="12E045F3"/>
    <w:rsid w:val="134E6454"/>
    <w:rsid w:val="138F0F2E"/>
    <w:rsid w:val="13D4711F"/>
    <w:rsid w:val="140307D7"/>
    <w:rsid w:val="140662FC"/>
    <w:rsid w:val="14215388"/>
    <w:rsid w:val="145A5979"/>
    <w:rsid w:val="14711EAF"/>
    <w:rsid w:val="1493114B"/>
    <w:rsid w:val="14955CB4"/>
    <w:rsid w:val="14CC16DB"/>
    <w:rsid w:val="15034DAF"/>
    <w:rsid w:val="15202D79"/>
    <w:rsid w:val="15B35820"/>
    <w:rsid w:val="15D1270D"/>
    <w:rsid w:val="15E07071"/>
    <w:rsid w:val="15F201F8"/>
    <w:rsid w:val="15F94232"/>
    <w:rsid w:val="16BC1651"/>
    <w:rsid w:val="16CE0C48"/>
    <w:rsid w:val="16F9072C"/>
    <w:rsid w:val="17405C8B"/>
    <w:rsid w:val="17494504"/>
    <w:rsid w:val="176811F5"/>
    <w:rsid w:val="17C07A94"/>
    <w:rsid w:val="17C73161"/>
    <w:rsid w:val="17FD70C6"/>
    <w:rsid w:val="18247AC1"/>
    <w:rsid w:val="18274EB9"/>
    <w:rsid w:val="183369F8"/>
    <w:rsid w:val="18CB0B33"/>
    <w:rsid w:val="18F45785"/>
    <w:rsid w:val="192269D6"/>
    <w:rsid w:val="193E6B04"/>
    <w:rsid w:val="19741977"/>
    <w:rsid w:val="1A381F9A"/>
    <w:rsid w:val="1A413456"/>
    <w:rsid w:val="1A5531FE"/>
    <w:rsid w:val="1A834F17"/>
    <w:rsid w:val="1A847123"/>
    <w:rsid w:val="1A9222A0"/>
    <w:rsid w:val="1ABC7C86"/>
    <w:rsid w:val="1B750D4B"/>
    <w:rsid w:val="1B784FCA"/>
    <w:rsid w:val="1C4739CA"/>
    <w:rsid w:val="1D0F0868"/>
    <w:rsid w:val="1E1C555D"/>
    <w:rsid w:val="1E3C1BFA"/>
    <w:rsid w:val="1E4266F2"/>
    <w:rsid w:val="1E614B9D"/>
    <w:rsid w:val="1E691C2C"/>
    <w:rsid w:val="1E6E041A"/>
    <w:rsid w:val="1EBC62FE"/>
    <w:rsid w:val="1EC74FC6"/>
    <w:rsid w:val="1F113A6C"/>
    <w:rsid w:val="1F2211EF"/>
    <w:rsid w:val="1F2C51E9"/>
    <w:rsid w:val="1F545A77"/>
    <w:rsid w:val="1F5D55DE"/>
    <w:rsid w:val="1F850DDC"/>
    <w:rsid w:val="1FF84F8B"/>
    <w:rsid w:val="20400E05"/>
    <w:rsid w:val="209E204F"/>
    <w:rsid w:val="20BC096E"/>
    <w:rsid w:val="20BE4A47"/>
    <w:rsid w:val="20EF2DD9"/>
    <w:rsid w:val="21A82B05"/>
    <w:rsid w:val="21ED2F93"/>
    <w:rsid w:val="224C43E5"/>
    <w:rsid w:val="226B0338"/>
    <w:rsid w:val="22795F46"/>
    <w:rsid w:val="22845241"/>
    <w:rsid w:val="22910AD3"/>
    <w:rsid w:val="22CB73FF"/>
    <w:rsid w:val="22D27C8B"/>
    <w:rsid w:val="22EE0F97"/>
    <w:rsid w:val="23182504"/>
    <w:rsid w:val="231E4EEB"/>
    <w:rsid w:val="23505929"/>
    <w:rsid w:val="237A3415"/>
    <w:rsid w:val="23884241"/>
    <w:rsid w:val="23A10231"/>
    <w:rsid w:val="23A36550"/>
    <w:rsid w:val="23B81835"/>
    <w:rsid w:val="23FC36DA"/>
    <w:rsid w:val="244617E7"/>
    <w:rsid w:val="244E0BBC"/>
    <w:rsid w:val="2455691E"/>
    <w:rsid w:val="248D1ABC"/>
    <w:rsid w:val="24B84B9E"/>
    <w:rsid w:val="24E026BE"/>
    <w:rsid w:val="24F72AC4"/>
    <w:rsid w:val="24F971EB"/>
    <w:rsid w:val="253E5CB9"/>
    <w:rsid w:val="253F0593"/>
    <w:rsid w:val="257A73D0"/>
    <w:rsid w:val="257C444C"/>
    <w:rsid w:val="25941CAE"/>
    <w:rsid w:val="25E71580"/>
    <w:rsid w:val="25ED790B"/>
    <w:rsid w:val="267643D1"/>
    <w:rsid w:val="26DC3830"/>
    <w:rsid w:val="26E60D64"/>
    <w:rsid w:val="2720402B"/>
    <w:rsid w:val="280571AB"/>
    <w:rsid w:val="288C3D78"/>
    <w:rsid w:val="28976961"/>
    <w:rsid w:val="28EB7CDF"/>
    <w:rsid w:val="28F2027B"/>
    <w:rsid w:val="293B7F79"/>
    <w:rsid w:val="29CA3F4C"/>
    <w:rsid w:val="29E067C8"/>
    <w:rsid w:val="29E4725E"/>
    <w:rsid w:val="2A783838"/>
    <w:rsid w:val="2B5078FF"/>
    <w:rsid w:val="2B8B34B0"/>
    <w:rsid w:val="2B923661"/>
    <w:rsid w:val="2BCC7B24"/>
    <w:rsid w:val="2BD51F89"/>
    <w:rsid w:val="2BFE5CFA"/>
    <w:rsid w:val="2C0D2FFD"/>
    <w:rsid w:val="2C263FF4"/>
    <w:rsid w:val="2C47711C"/>
    <w:rsid w:val="2C7637C4"/>
    <w:rsid w:val="2CC928A8"/>
    <w:rsid w:val="2CCF3F81"/>
    <w:rsid w:val="2CD63DBE"/>
    <w:rsid w:val="2CE8456C"/>
    <w:rsid w:val="2D0832EB"/>
    <w:rsid w:val="2D835C1F"/>
    <w:rsid w:val="2D9F3333"/>
    <w:rsid w:val="2E2968AD"/>
    <w:rsid w:val="2E391103"/>
    <w:rsid w:val="2E7A388A"/>
    <w:rsid w:val="2E803D7D"/>
    <w:rsid w:val="2EBD2C12"/>
    <w:rsid w:val="2F984D9C"/>
    <w:rsid w:val="2FB55D74"/>
    <w:rsid w:val="302E0DCD"/>
    <w:rsid w:val="304F7AD8"/>
    <w:rsid w:val="31077786"/>
    <w:rsid w:val="31F15FAB"/>
    <w:rsid w:val="31F73EE5"/>
    <w:rsid w:val="321B3256"/>
    <w:rsid w:val="32307A81"/>
    <w:rsid w:val="325A31BA"/>
    <w:rsid w:val="326A4731"/>
    <w:rsid w:val="32731315"/>
    <w:rsid w:val="327B54A6"/>
    <w:rsid w:val="32A14180"/>
    <w:rsid w:val="32E25DD1"/>
    <w:rsid w:val="331466DE"/>
    <w:rsid w:val="33752666"/>
    <w:rsid w:val="33A415E4"/>
    <w:rsid w:val="33D83FC9"/>
    <w:rsid w:val="341F1AE0"/>
    <w:rsid w:val="343E5994"/>
    <w:rsid w:val="349A7728"/>
    <w:rsid w:val="34DF733F"/>
    <w:rsid w:val="34FA3405"/>
    <w:rsid w:val="352261A2"/>
    <w:rsid w:val="35A60855"/>
    <w:rsid w:val="367766C2"/>
    <w:rsid w:val="36983918"/>
    <w:rsid w:val="36FC310E"/>
    <w:rsid w:val="371C5484"/>
    <w:rsid w:val="3783174C"/>
    <w:rsid w:val="37940011"/>
    <w:rsid w:val="37946F59"/>
    <w:rsid w:val="379C7B25"/>
    <w:rsid w:val="37A6084D"/>
    <w:rsid w:val="37B21435"/>
    <w:rsid w:val="37B44F95"/>
    <w:rsid w:val="3816248E"/>
    <w:rsid w:val="381E116F"/>
    <w:rsid w:val="38E828B3"/>
    <w:rsid w:val="38FA71A0"/>
    <w:rsid w:val="3943372E"/>
    <w:rsid w:val="395A5E54"/>
    <w:rsid w:val="395F024B"/>
    <w:rsid w:val="396667EA"/>
    <w:rsid w:val="3994560D"/>
    <w:rsid w:val="39CE3BB6"/>
    <w:rsid w:val="3A272CF2"/>
    <w:rsid w:val="3A445A1C"/>
    <w:rsid w:val="3A5A1A64"/>
    <w:rsid w:val="3A900026"/>
    <w:rsid w:val="3A967AD5"/>
    <w:rsid w:val="3AC40189"/>
    <w:rsid w:val="3B347954"/>
    <w:rsid w:val="3B844700"/>
    <w:rsid w:val="3BEA76A8"/>
    <w:rsid w:val="3C386B92"/>
    <w:rsid w:val="3C4F0DC6"/>
    <w:rsid w:val="3C5A1BC8"/>
    <w:rsid w:val="3C993636"/>
    <w:rsid w:val="3D564829"/>
    <w:rsid w:val="3D790BBA"/>
    <w:rsid w:val="3DB92194"/>
    <w:rsid w:val="3DC10DEC"/>
    <w:rsid w:val="3DFB160A"/>
    <w:rsid w:val="3E247D32"/>
    <w:rsid w:val="3E472328"/>
    <w:rsid w:val="3E7417F4"/>
    <w:rsid w:val="3E901837"/>
    <w:rsid w:val="3E966DB0"/>
    <w:rsid w:val="3EB641B4"/>
    <w:rsid w:val="3ED372FA"/>
    <w:rsid w:val="3EE3394D"/>
    <w:rsid w:val="3EE4502D"/>
    <w:rsid w:val="3F3C349F"/>
    <w:rsid w:val="3F842F4B"/>
    <w:rsid w:val="3FBF6B98"/>
    <w:rsid w:val="404017A4"/>
    <w:rsid w:val="40755CAB"/>
    <w:rsid w:val="408F75BE"/>
    <w:rsid w:val="40B7720D"/>
    <w:rsid w:val="40F13A89"/>
    <w:rsid w:val="415400F7"/>
    <w:rsid w:val="416B347A"/>
    <w:rsid w:val="41906254"/>
    <w:rsid w:val="4192019E"/>
    <w:rsid w:val="427823A9"/>
    <w:rsid w:val="428D2930"/>
    <w:rsid w:val="42935FD7"/>
    <w:rsid w:val="42BA108E"/>
    <w:rsid w:val="42E31827"/>
    <w:rsid w:val="42FF3F71"/>
    <w:rsid w:val="433B6C9C"/>
    <w:rsid w:val="436B5C9B"/>
    <w:rsid w:val="4392313E"/>
    <w:rsid w:val="439A253E"/>
    <w:rsid w:val="43A65CC5"/>
    <w:rsid w:val="44982499"/>
    <w:rsid w:val="44AE2A00"/>
    <w:rsid w:val="450955E1"/>
    <w:rsid w:val="45977A54"/>
    <w:rsid w:val="46296716"/>
    <w:rsid w:val="467025F4"/>
    <w:rsid w:val="46DF3F0F"/>
    <w:rsid w:val="46F509C7"/>
    <w:rsid w:val="47193333"/>
    <w:rsid w:val="47826786"/>
    <w:rsid w:val="47D53786"/>
    <w:rsid w:val="47E47337"/>
    <w:rsid w:val="480B5CB1"/>
    <w:rsid w:val="48D972F5"/>
    <w:rsid w:val="495B7A57"/>
    <w:rsid w:val="497250F9"/>
    <w:rsid w:val="49D55FBB"/>
    <w:rsid w:val="49E2014F"/>
    <w:rsid w:val="49FD7E75"/>
    <w:rsid w:val="4A142D9F"/>
    <w:rsid w:val="4A7630F7"/>
    <w:rsid w:val="4ABD2146"/>
    <w:rsid w:val="4B055342"/>
    <w:rsid w:val="4B2405D2"/>
    <w:rsid w:val="4B825093"/>
    <w:rsid w:val="4BB7399C"/>
    <w:rsid w:val="4BC42771"/>
    <w:rsid w:val="4BC949D3"/>
    <w:rsid w:val="4BF604BA"/>
    <w:rsid w:val="4BFD1A7C"/>
    <w:rsid w:val="4C183D32"/>
    <w:rsid w:val="4C1E6D2C"/>
    <w:rsid w:val="4CB3501F"/>
    <w:rsid w:val="4CEB0AB9"/>
    <w:rsid w:val="4D0E64D9"/>
    <w:rsid w:val="4D136985"/>
    <w:rsid w:val="4DBA5BC6"/>
    <w:rsid w:val="4E204F82"/>
    <w:rsid w:val="4E2970C5"/>
    <w:rsid w:val="4E304E79"/>
    <w:rsid w:val="4E925663"/>
    <w:rsid w:val="4F262C97"/>
    <w:rsid w:val="4F357524"/>
    <w:rsid w:val="4F8754DE"/>
    <w:rsid w:val="500F5EC0"/>
    <w:rsid w:val="502935B6"/>
    <w:rsid w:val="503166AD"/>
    <w:rsid w:val="508320CC"/>
    <w:rsid w:val="50AA6BBA"/>
    <w:rsid w:val="511A7A24"/>
    <w:rsid w:val="518F3C7E"/>
    <w:rsid w:val="519A76D1"/>
    <w:rsid w:val="51C67ECB"/>
    <w:rsid w:val="520E4FC7"/>
    <w:rsid w:val="526F3B05"/>
    <w:rsid w:val="52707FB6"/>
    <w:rsid w:val="529A6A62"/>
    <w:rsid w:val="5305711F"/>
    <w:rsid w:val="531769D7"/>
    <w:rsid w:val="53A76161"/>
    <w:rsid w:val="53E06AEC"/>
    <w:rsid w:val="53F1105F"/>
    <w:rsid w:val="543658E5"/>
    <w:rsid w:val="54721DB0"/>
    <w:rsid w:val="54747EF2"/>
    <w:rsid w:val="54891885"/>
    <w:rsid w:val="54C6143C"/>
    <w:rsid w:val="54C87883"/>
    <w:rsid w:val="55266162"/>
    <w:rsid w:val="559F35CA"/>
    <w:rsid w:val="55A64981"/>
    <w:rsid w:val="55AE6C4D"/>
    <w:rsid w:val="55D94D5F"/>
    <w:rsid w:val="55F734CE"/>
    <w:rsid w:val="560D7BE6"/>
    <w:rsid w:val="565D2FE3"/>
    <w:rsid w:val="56D61DB5"/>
    <w:rsid w:val="56FA74F5"/>
    <w:rsid w:val="5715367B"/>
    <w:rsid w:val="580B14EE"/>
    <w:rsid w:val="58807E3B"/>
    <w:rsid w:val="58B3768A"/>
    <w:rsid w:val="58CB0F2B"/>
    <w:rsid w:val="58F619F3"/>
    <w:rsid w:val="593C0869"/>
    <w:rsid w:val="594006C5"/>
    <w:rsid w:val="59757C1E"/>
    <w:rsid w:val="5984580C"/>
    <w:rsid w:val="5A252D18"/>
    <w:rsid w:val="5A49240E"/>
    <w:rsid w:val="5AC64479"/>
    <w:rsid w:val="5AFF6B8E"/>
    <w:rsid w:val="5B223A34"/>
    <w:rsid w:val="5B563943"/>
    <w:rsid w:val="5C0D53BD"/>
    <w:rsid w:val="5C4A7911"/>
    <w:rsid w:val="5CEF5E6A"/>
    <w:rsid w:val="5CF122C1"/>
    <w:rsid w:val="5D4361CD"/>
    <w:rsid w:val="5DF46426"/>
    <w:rsid w:val="5E3945EA"/>
    <w:rsid w:val="5E867E2D"/>
    <w:rsid w:val="5F472BFF"/>
    <w:rsid w:val="5F8B54DA"/>
    <w:rsid w:val="5FDB2024"/>
    <w:rsid w:val="60C917B8"/>
    <w:rsid w:val="60CB21E8"/>
    <w:rsid w:val="60D12ECB"/>
    <w:rsid w:val="613943B6"/>
    <w:rsid w:val="616A4B9B"/>
    <w:rsid w:val="617A0421"/>
    <w:rsid w:val="61BE02FD"/>
    <w:rsid w:val="62397CEA"/>
    <w:rsid w:val="623E435B"/>
    <w:rsid w:val="626A76C8"/>
    <w:rsid w:val="628A778E"/>
    <w:rsid w:val="629234C5"/>
    <w:rsid w:val="63460424"/>
    <w:rsid w:val="635105BF"/>
    <w:rsid w:val="637D177F"/>
    <w:rsid w:val="639049F5"/>
    <w:rsid w:val="63A92701"/>
    <w:rsid w:val="64A25D5B"/>
    <w:rsid w:val="64D32AB2"/>
    <w:rsid w:val="65053CCD"/>
    <w:rsid w:val="65080465"/>
    <w:rsid w:val="651C109B"/>
    <w:rsid w:val="65614A1F"/>
    <w:rsid w:val="65871A77"/>
    <w:rsid w:val="65DE2142"/>
    <w:rsid w:val="663B5043"/>
    <w:rsid w:val="66943F02"/>
    <w:rsid w:val="67450C74"/>
    <w:rsid w:val="679219A0"/>
    <w:rsid w:val="67CD16A7"/>
    <w:rsid w:val="67F0785E"/>
    <w:rsid w:val="68174F0E"/>
    <w:rsid w:val="68474B84"/>
    <w:rsid w:val="68497287"/>
    <w:rsid w:val="685C34BB"/>
    <w:rsid w:val="68A51B56"/>
    <w:rsid w:val="69531CB9"/>
    <w:rsid w:val="69B269A8"/>
    <w:rsid w:val="69E459BB"/>
    <w:rsid w:val="69FF6A0A"/>
    <w:rsid w:val="6A6E55E7"/>
    <w:rsid w:val="6A784C7D"/>
    <w:rsid w:val="6A7A3626"/>
    <w:rsid w:val="6AE96C78"/>
    <w:rsid w:val="6AEA233B"/>
    <w:rsid w:val="6BAB303B"/>
    <w:rsid w:val="6BE02EF1"/>
    <w:rsid w:val="6BE04EC4"/>
    <w:rsid w:val="6CB927E4"/>
    <w:rsid w:val="6CF8210C"/>
    <w:rsid w:val="6D362506"/>
    <w:rsid w:val="6D636818"/>
    <w:rsid w:val="6DA75965"/>
    <w:rsid w:val="6DB41DB0"/>
    <w:rsid w:val="6E39419B"/>
    <w:rsid w:val="6E5969FE"/>
    <w:rsid w:val="6E7D3EF3"/>
    <w:rsid w:val="6E84361E"/>
    <w:rsid w:val="6EEA5749"/>
    <w:rsid w:val="6F157F2D"/>
    <w:rsid w:val="6F2971AE"/>
    <w:rsid w:val="6F3E4242"/>
    <w:rsid w:val="6F637F9F"/>
    <w:rsid w:val="6F873731"/>
    <w:rsid w:val="6FA4634D"/>
    <w:rsid w:val="6FBE4987"/>
    <w:rsid w:val="705536D5"/>
    <w:rsid w:val="70C418C2"/>
    <w:rsid w:val="710E3FA7"/>
    <w:rsid w:val="71632467"/>
    <w:rsid w:val="7227629F"/>
    <w:rsid w:val="72284CD3"/>
    <w:rsid w:val="724E4896"/>
    <w:rsid w:val="72890388"/>
    <w:rsid w:val="728A2A59"/>
    <w:rsid w:val="728B420C"/>
    <w:rsid w:val="72A714BD"/>
    <w:rsid w:val="73236E8C"/>
    <w:rsid w:val="73B133AA"/>
    <w:rsid w:val="73B77B23"/>
    <w:rsid w:val="73F353B5"/>
    <w:rsid w:val="740E76E4"/>
    <w:rsid w:val="74695CF8"/>
    <w:rsid w:val="747A49DF"/>
    <w:rsid w:val="74FA12A9"/>
    <w:rsid w:val="756627EE"/>
    <w:rsid w:val="7571766F"/>
    <w:rsid w:val="75AC38CD"/>
    <w:rsid w:val="760E13A2"/>
    <w:rsid w:val="76181F74"/>
    <w:rsid w:val="762A1504"/>
    <w:rsid w:val="76812555"/>
    <w:rsid w:val="76824C7D"/>
    <w:rsid w:val="76B438D2"/>
    <w:rsid w:val="76C367C8"/>
    <w:rsid w:val="76DB54E1"/>
    <w:rsid w:val="77452250"/>
    <w:rsid w:val="778C1E00"/>
    <w:rsid w:val="7797108C"/>
    <w:rsid w:val="77CE29EE"/>
    <w:rsid w:val="77D354B0"/>
    <w:rsid w:val="77D5208C"/>
    <w:rsid w:val="783F5543"/>
    <w:rsid w:val="78A06036"/>
    <w:rsid w:val="78C13EE6"/>
    <w:rsid w:val="79263039"/>
    <w:rsid w:val="794F4AA1"/>
    <w:rsid w:val="79DD402E"/>
    <w:rsid w:val="79F94C3C"/>
    <w:rsid w:val="7A391DC0"/>
    <w:rsid w:val="7A6A2562"/>
    <w:rsid w:val="7A6C5DDC"/>
    <w:rsid w:val="7AD92143"/>
    <w:rsid w:val="7AFC7028"/>
    <w:rsid w:val="7B0849EC"/>
    <w:rsid w:val="7B0D675C"/>
    <w:rsid w:val="7B274987"/>
    <w:rsid w:val="7B4F2BA0"/>
    <w:rsid w:val="7B6F65ED"/>
    <w:rsid w:val="7BBD069C"/>
    <w:rsid w:val="7BD62ABE"/>
    <w:rsid w:val="7BE213B2"/>
    <w:rsid w:val="7BEB09F5"/>
    <w:rsid w:val="7BFE3F56"/>
    <w:rsid w:val="7C3937CD"/>
    <w:rsid w:val="7C573D6C"/>
    <w:rsid w:val="7CE565DD"/>
    <w:rsid w:val="7CF84001"/>
    <w:rsid w:val="7D0263D7"/>
    <w:rsid w:val="7D7C1EF8"/>
    <w:rsid w:val="7DC35EA0"/>
    <w:rsid w:val="7E054230"/>
    <w:rsid w:val="7E0878D8"/>
    <w:rsid w:val="7E481BF4"/>
    <w:rsid w:val="7E5D274F"/>
    <w:rsid w:val="7EC81B02"/>
    <w:rsid w:val="7F214B49"/>
    <w:rsid w:val="7F502099"/>
    <w:rsid w:val="7F5302FE"/>
    <w:rsid w:val="7F5458FC"/>
    <w:rsid w:val="7F57469D"/>
    <w:rsid w:val="7F7C4F74"/>
    <w:rsid w:val="7FAD58CC"/>
    <w:rsid w:val="7FC24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0"/>
    <w:qFormat/>
    <w:uiPriority w:val="0"/>
    <w:rPr>
      <w:rFonts w:ascii="Tahoma" w:hAnsi="Tahoma" w:cs="Tahoma"/>
      <w:sz w:val="16"/>
      <w:szCs w:val="16"/>
    </w:rPr>
  </w:style>
  <w:style w:type="paragraph" w:styleId="34">
    <w:name w:val="footer"/>
    <w:basedOn w:val="35"/>
    <w:link w:val="96"/>
    <w:qFormat/>
    <w:uiPriority w:val="0"/>
    <w:pPr>
      <w:jc w:val="center"/>
    </w:pPr>
    <w:rPr>
      <w:i/>
    </w:rPr>
  </w:style>
  <w:style w:type="paragraph" w:styleId="35">
    <w:name w:val="header"/>
    <w:link w:val="8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3"/>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5"/>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0"/>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4"/>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6"/>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5"/>
    <w:qFormat/>
    <w:uiPriority w:val="0"/>
    <w:pPr>
      <w:tabs>
        <w:tab w:val="right" w:pos="9923"/>
      </w:tabs>
      <w:ind w:right="-7"/>
    </w:pPr>
    <w:rPr>
      <w:rFonts w:cs="Arial"/>
      <w:bCs/>
      <w:sz w:val="24"/>
    </w:rPr>
  </w:style>
  <w:style w:type="paragraph" w:customStyle="1" w:styleId="118">
    <w:name w:val="Agreement"/>
    <w:next w:val="1"/>
    <w:qFormat/>
    <w:uiPriority w:val="99"/>
    <w:pPr>
      <w:numPr>
        <w:ilvl w:val="0"/>
        <w:numId w:val="1"/>
      </w:numPr>
      <w:spacing w:before="60"/>
    </w:pPr>
    <w:rPr>
      <w:rFonts w:ascii="Arial" w:hAnsi="Arial" w:eastAsia="MS Mincho" w:cs="Times New Roman"/>
      <w:b/>
      <w:szCs w:val="24"/>
      <w:lang w:val="en-GB" w:eastAsia="en-GB" w:bidi="ar-SA"/>
    </w:rPr>
  </w:style>
  <w:style w:type="paragraph" w:styleId="119">
    <w:name w:val="List Paragraph"/>
    <w:qFormat/>
    <w:uiPriority w:val="34"/>
    <w:pPr>
      <w:spacing w:after="0"/>
      <w:ind w:left="720"/>
      <w:contextualSpacing/>
      <w:jc w:val="both"/>
    </w:pPr>
    <w:rPr>
      <w:rFonts w:ascii="Nokia Pure Text Light" w:hAnsi="Nokia Pure Text Light" w:eastAsia="宋体" w:cs="Times New Roman"/>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0</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2024-04-08T14:04:21Z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